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BF5B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附件4</w:t>
      </w:r>
    </w:p>
    <w:p w14:paraId="269A8498">
      <w:pPr>
        <w:spacing w:line="560" w:lineRule="exact"/>
        <w:jc w:val="center"/>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rPr>
        <w:t>2026年省级教师教学创新大赛校级选拔赛</w:t>
      </w:r>
    </w:p>
    <w:p w14:paraId="70B1E207">
      <w:pPr>
        <w:spacing w:line="560" w:lineRule="exact"/>
        <w:jc w:val="center"/>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lang w:eastAsia="zh-CN"/>
        </w:rPr>
        <w:t>“</w:t>
      </w:r>
      <w:r>
        <w:rPr>
          <w:rFonts w:hint="default" w:ascii="Times New Roman" w:hAnsi="Times New Roman" w:eastAsia="黑体" w:cs="Times New Roman"/>
          <w:sz w:val="32"/>
          <w:szCs w:val="32"/>
          <w:shd w:val="clear" w:color="auto" w:fill="FFFFFF"/>
          <w:lang w:val="en-US" w:eastAsia="zh-CN"/>
        </w:rPr>
        <w:t>创新报告”</w:t>
      </w:r>
      <w:r>
        <w:rPr>
          <w:rFonts w:hint="default" w:ascii="Times New Roman" w:hAnsi="Times New Roman" w:eastAsia="黑体" w:cs="Times New Roman"/>
          <w:sz w:val="32"/>
          <w:szCs w:val="32"/>
          <w:shd w:val="clear" w:color="auto" w:fill="FFFFFF"/>
        </w:rPr>
        <w:t>评分细则</w:t>
      </w:r>
    </w:p>
    <w:p w14:paraId="1D9C06B7">
      <w:pPr>
        <w:spacing w:line="560" w:lineRule="exact"/>
        <w:jc w:val="center"/>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rPr>
        <w:t>(满分</w:t>
      </w:r>
      <w:r>
        <w:rPr>
          <w:rFonts w:hint="default" w:ascii="Times New Roman" w:hAnsi="Times New Roman" w:eastAsia="黑体" w:cs="Times New Roman"/>
          <w:sz w:val="32"/>
          <w:szCs w:val="32"/>
          <w:shd w:val="clear" w:color="auto" w:fill="FFFFFF"/>
          <w:lang w:val="en-US" w:eastAsia="zh-CN"/>
        </w:rPr>
        <w:t>3</w:t>
      </w:r>
      <w:r>
        <w:rPr>
          <w:rFonts w:hint="default" w:ascii="Times New Roman" w:hAnsi="Times New Roman" w:eastAsia="黑体" w:cs="Times New Roman"/>
          <w:sz w:val="32"/>
          <w:szCs w:val="32"/>
          <w:shd w:val="clear" w:color="auto" w:fill="FFFFFF"/>
        </w:rPr>
        <w:t>0分)</w:t>
      </w:r>
    </w:p>
    <w:p w14:paraId="0E0EB3FE">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教学创新成果报告</w:t>
      </w:r>
    </w:p>
    <w:tbl>
      <w:tblPr>
        <w:tblStyle w:val="3"/>
        <w:tblW w:w="50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1588"/>
        <w:gridCol w:w="5164"/>
        <w:gridCol w:w="888"/>
      </w:tblGrid>
      <w:tr w14:paraId="3044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02" w:type="pct"/>
            <w:vAlign w:val="center"/>
          </w:tcPr>
          <w:p w14:paraId="3D7D483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项目</w:t>
            </w:r>
          </w:p>
        </w:tc>
        <w:tc>
          <w:tcPr>
            <w:tcW w:w="3886" w:type="pct"/>
            <w:gridSpan w:val="2"/>
            <w:vAlign w:val="center"/>
          </w:tcPr>
          <w:p w14:paraId="5720442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评分要点</w:t>
            </w:r>
          </w:p>
        </w:tc>
        <w:tc>
          <w:tcPr>
            <w:tcW w:w="511" w:type="pct"/>
            <w:vAlign w:val="center"/>
          </w:tcPr>
          <w:p w14:paraId="3D295BA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分数</w:t>
            </w:r>
          </w:p>
        </w:tc>
      </w:tr>
      <w:tr w14:paraId="7BEEC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02" w:type="pct"/>
            <w:vMerge w:val="restart"/>
            <w:vAlign w:val="center"/>
          </w:tcPr>
          <w:p w14:paraId="4A4C8B0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教学创新成果报告</w:t>
            </w:r>
          </w:p>
        </w:tc>
        <w:tc>
          <w:tcPr>
            <w:tcW w:w="914" w:type="pct"/>
            <w:vAlign w:val="center"/>
          </w:tcPr>
          <w:p w14:paraId="3C19601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有明确的问题导向</w:t>
            </w:r>
          </w:p>
        </w:tc>
        <w:tc>
          <w:tcPr>
            <w:tcW w:w="2971" w:type="pct"/>
            <w:vAlign w:val="center"/>
          </w:tcPr>
          <w:p w14:paraId="3A819B6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立足于课堂教学真实问题，能体现“以学生发展为中心”的理念，提出解决问题的思路与方案</w:t>
            </w:r>
          </w:p>
        </w:tc>
        <w:tc>
          <w:tcPr>
            <w:tcW w:w="511" w:type="pct"/>
            <w:vAlign w:val="center"/>
          </w:tcPr>
          <w:p w14:paraId="43B7230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r>
      <w:tr w14:paraId="35493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602" w:type="pct"/>
            <w:vMerge w:val="continue"/>
            <w:vAlign w:val="center"/>
          </w:tcPr>
          <w:p w14:paraId="133387B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914" w:type="pct"/>
            <w:vAlign w:val="center"/>
          </w:tcPr>
          <w:p w14:paraId="1CA0AD8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有明显的创新特色</w:t>
            </w:r>
          </w:p>
        </w:tc>
        <w:tc>
          <w:tcPr>
            <w:tcW w:w="2971" w:type="pct"/>
            <w:vAlign w:val="center"/>
          </w:tcPr>
          <w:p w14:paraId="2A5B21E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把“四新”建设要求贯穿到教学过程中，对教学目标、内容、方法、活动、评价等教学过程各环节分析全面、透彻，能够凸显教学创新点</w:t>
            </w:r>
          </w:p>
        </w:tc>
        <w:tc>
          <w:tcPr>
            <w:tcW w:w="511" w:type="pct"/>
            <w:vAlign w:val="center"/>
          </w:tcPr>
          <w:p w14:paraId="6810E4E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14:paraId="7E28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602" w:type="pct"/>
            <w:vMerge w:val="continue"/>
            <w:vAlign w:val="center"/>
          </w:tcPr>
          <w:p w14:paraId="2E80C54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914" w:type="pct"/>
            <w:vAlign w:val="center"/>
          </w:tcPr>
          <w:p w14:paraId="0F0172E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体现课程思政特色</w:t>
            </w:r>
          </w:p>
        </w:tc>
        <w:tc>
          <w:tcPr>
            <w:tcW w:w="2971" w:type="pct"/>
            <w:vAlign w:val="center"/>
          </w:tcPr>
          <w:p w14:paraId="25CA001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概述在课程思政建设方面的特色、亮点和创新点，形成可供借鉴推广的经验做法</w:t>
            </w:r>
          </w:p>
        </w:tc>
        <w:tc>
          <w:tcPr>
            <w:tcW w:w="511" w:type="pct"/>
            <w:vAlign w:val="center"/>
          </w:tcPr>
          <w:p w14:paraId="64BA9F1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r>
      <w:tr w14:paraId="04F89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602" w:type="pct"/>
            <w:vMerge w:val="continue"/>
            <w:vAlign w:val="center"/>
          </w:tcPr>
          <w:p w14:paraId="55C8B44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914" w:type="pct"/>
            <w:vAlign w:val="center"/>
          </w:tcPr>
          <w:p w14:paraId="6D55C14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关注技术应用于教学</w:t>
            </w:r>
          </w:p>
        </w:tc>
        <w:tc>
          <w:tcPr>
            <w:tcW w:w="2971" w:type="pct"/>
            <w:vAlign w:val="center"/>
          </w:tcPr>
          <w:p w14:paraId="08F8A59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能够把握新时代下学生学习特点，充分利用现代信息技术开展课程教学活动和学习评价</w:t>
            </w:r>
          </w:p>
        </w:tc>
        <w:tc>
          <w:tcPr>
            <w:tcW w:w="511" w:type="pct"/>
            <w:vAlign w:val="center"/>
          </w:tcPr>
          <w:p w14:paraId="1B73D93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r>
      <w:tr w14:paraId="0A61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pct"/>
            <w:vMerge w:val="continue"/>
            <w:vAlign w:val="center"/>
          </w:tcPr>
          <w:p w14:paraId="592C6A2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914" w:type="pct"/>
            <w:vAlign w:val="center"/>
          </w:tcPr>
          <w:p w14:paraId="556454A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注重创新成果的辐射</w:t>
            </w:r>
          </w:p>
        </w:tc>
        <w:tc>
          <w:tcPr>
            <w:tcW w:w="2971" w:type="pct"/>
            <w:vAlign w:val="center"/>
          </w:tcPr>
          <w:p w14:paraId="6A71082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能够对创新实践成效开展基于证据的有效分析与总结，形成具有较强辐射推广价值的教学新方法、新模式</w:t>
            </w:r>
          </w:p>
        </w:tc>
        <w:tc>
          <w:tcPr>
            <w:tcW w:w="511" w:type="pct"/>
            <w:vAlign w:val="center"/>
          </w:tcPr>
          <w:p w14:paraId="489021E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r>
    </w:tbl>
    <w:p w14:paraId="4C9F1359">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课程思政创新报告</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1485"/>
        <w:gridCol w:w="5161"/>
        <w:gridCol w:w="732"/>
      </w:tblGrid>
      <w:tr w14:paraId="2406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71" w:type="pct"/>
            <w:vAlign w:val="center"/>
          </w:tcPr>
          <w:p w14:paraId="6560F20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项目</w:t>
            </w:r>
          </w:p>
        </w:tc>
        <w:tc>
          <w:tcPr>
            <w:tcW w:w="3898" w:type="pct"/>
            <w:gridSpan w:val="2"/>
            <w:vAlign w:val="center"/>
          </w:tcPr>
          <w:p w14:paraId="1640B67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评分要点</w:t>
            </w:r>
          </w:p>
        </w:tc>
        <w:tc>
          <w:tcPr>
            <w:tcW w:w="429" w:type="pct"/>
            <w:vAlign w:val="center"/>
          </w:tcPr>
          <w:p w14:paraId="7B6269C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分数</w:t>
            </w:r>
          </w:p>
        </w:tc>
      </w:tr>
      <w:tr w14:paraId="5785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1" w:type="pct"/>
            <w:vMerge w:val="restart"/>
            <w:vAlign w:val="center"/>
          </w:tcPr>
          <w:p w14:paraId="7CFD5D9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课程思政创新报告</w:t>
            </w:r>
          </w:p>
        </w:tc>
        <w:tc>
          <w:tcPr>
            <w:tcW w:w="871" w:type="pct"/>
            <w:vAlign w:val="center"/>
          </w:tcPr>
          <w:p w14:paraId="607F6FD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问题导向</w:t>
            </w:r>
          </w:p>
        </w:tc>
        <w:tc>
          <w:tcPr>
            <w:tcW w:w="3027" w:type="pct"/>
            <w:vAlign w:val="center"/>
          </w:tcPr>
          <w:p w14:paraId="7A2BFED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以落实立德树人根本任务为导向，立足于学科专业的育人特点和要求，发现和解决本课程开展课堂思政教学过程中的真实问题</w:t>
            </w:r>
          </w:p>
        </w:tc>
        <w:tc>
          <w:tcPr>
            <w:tcW w:w="429" w:type="pct"/>
            <w:vAlign w:val="center"/>
          </w:tcPr>
          <w:p w14:paraId="0BE89C8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r>
      <w:tr w14:paraId="06722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1" w:type="pct"/>
            <w:vMerge w:val="continue"/>
            <w:vAlign w:val="center"/>
          </w:tcPr>
          <w:p w14:paraId="1BAEE94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71" w:type="pct"/>
            <w:vAlign w:val="center"/>
          </w:tcPr>
          <w:p w14:paraId="4EE1766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创新特色</w:t>
            </w:r>
          </w:p>
        </w:tc>
        <w:tc>
          <w:tcPr>
            <w:tcW w:w="3027" w:type="pct"/>
            <w:vAlign w:val="center"/>
          </w:tcPr>
          <w:p w14:paraId="37C2B82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能够准确把握课程思政的内涵建设要求，聚焦需要解决的课程思政教学过程的问题，在教学目标、教学设计、教学内容、方法手段、考核评价等方面提出了具体举措，且针对性、创新性、可操作性强</w:t>
            </w:r>
          </w:p>
        </w:tc>
        <w:tc>
          <w:tcPr>
            <w:tcW w:w="429" w:type="pct"/>
            <w:vAlign w:val="center"/>
          </w:tcPr>
          <w:p w14:paraId="0A33CCD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14:paraId="4AF76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671" w:type="pct"/>
            <w:vMerge w:val="continue"/>
            <w:vAlign w:val="center"/>
          </w:tcPr>
          <w:p w14:paraId="13CC334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71" w:type="pct"/>
            <w:vAlign w:val="center"/>
          </w:tcPr>
          <w:p w14:paraId="6AE6E7E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创新效果</w:t>
            </w:r>
          </w:p>
        </w:tc>
        <w:tc>
          <w:tcPr>
            <w:tcW w:w="3027" w:type="pct"/>
            <w:vAlign w:val="center"/>
          </w:tcPr>
          <w:p w14:paraId="23FE01B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能够切实解决课程思政教学存在的问题，能够有效实现离价值观引导于知识传授和能力培养之中，帮助学生塑造正确的世界观人生观价值观</w:t>
            </w:r>
          </w:p>
        </w:tc>
        <w:tc>
          <w:tcPr>
            <w:tcW w:w="429" w:type="pct"/>
            <w:vAlign w:val="center"/>
          </w:tcPr>
          <w:p w14:paraId="3713DE6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14:paraId="4B09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671" w:type="pct"/>
            <w:vMerge w:val="continue"/>
            <w:vAlign w:val="center"/>
          </w:tcPr>
          <w:p w14:paraId="0F6EF62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71" w:type="pct"/>
            <w:vAlign w:val="center"/>
          </w:tcPr>
          <w:p w14:paraId="1741010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成果辐射</w:t>
            </w:r>
          </w:p>
        </w:tc>
        <w:tc>
          <w:tcPr>
            <w:tcW w:w="3027" w:type="pct"/>
            <w:vAlign w:val="center"/>
          </w:tcPr>
          <w:p w14:paraId="2C054B6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能对课程思政实践成效开展基于案例的有效分析与总结，面向同一类型课程、同一学科专业、同一类型学校，形成具有较强辐射推广价值的课程恩政教学新方法、新模式</w:t>
            </w:r>
          </w:p>
        </w:tc>
        <w:tc>
          <w:tcPr>
            <w:tcW w:w="429" w:type="pct"/>
            <w:vAlign w:val="center"/>
          </w:tcPr>
          <w:p w14:paraId="08D9DDF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r>
    </w:tbl>
    <w:p w14:paraId="2F05F616">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产教融合创新报告</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454"/>
        <w:gridCol w:w="5179"/>
        <w:gridCol w:w="730"/>
      </w:tblGrid>
      <w:tr w14:paraId="18968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pct"/>
            <w:vAlign w:val="center"/>
          </w:tcPr>
          <w:p w14:paraId="4B8854A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项目</w:t>
            </w:r>
          </w:p>
        </w:tc>
        <w:tc>
          <w:tcPr>
            <w:tcW w:w="3891" w:type="pct"/>
            <w:gridSpan w:val="2"/>
            <w:vAlign w:val="center"/>
          </w:tcPr>
          <w:p w14:paraId="63500BEB">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评分要点</w:t>
            </w:r>
          </w:p>
        </w:tc>
        <w:tc>
          <w:tcPr>
            <w:tcW w:w="428" w:type="pct"/>
            <w:vAlign w:val="center"/>
          </w:tcPr>
          <w:p w14:paraId="750F30D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分数</w:t>
            </w:r>
          </w:p>
        </w:tc>
      </w:tr>
      <w:tr w14:paraId="372C4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680" w:type="pct"/>
            <w:vMerge w:val="restart"/>
            <w:vAlign w:val="center"/>
          </w:tcPr>
          <w:p w14:paraId="7A99BA9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产教融合创新报告</w:t>
            </w:r>
          </w:p>
        </w:tc>
        <w:tc>
          <w:tcPr>
            <w:tcW w:w="853" w:type="pct"/>
            <w:vAlign w:val="center"/>
          </w:tcPr>
          <w:p w14:paraId="07A1004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问题导向</w:t>
            </w:r>
          </w:p>
        </w:tc>
        <w:tc>
          <w:tcPr>
            <w:tcW w:w="3037" w:type="pct"/>
            <w:vAlign w:val="center"/>
          </w:tcPr>
          <w:p w14:paraId="3C62468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人才培养规格与哲学社会科学和自然科学领域的各类实践需求相符，以培养高素质创新人才为导向，立足专业和学科特色，发现和解决产教融合课程教学面临的问题和挑战</w:t>
            </w:r>
          </w:p>
        </w:tc>
        <w:tc>
          <w:tcPr>
            <w:tcW w:w="428" w:type="pct"/>
            <w:vAlign w:val="center"/>
          </w:tcPr>
          <w:p w14:paraId="0982CF9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r>
      <w:tr w14:paraId="0E6B2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680" w:type="pct"/>
            <w:vMerge w:val="continue"/>
            <w:vAlign w:val="center"/>
          </w:tcPr>
          <w:p w14:paraId="22D9E35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53" w:type="pct"/>
            <w:vAlign w:val="center"/>
          </w:tcPr>
          <w:p w14:paraId="350147E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创新特色</w:t>
            </w:r>
          </w:p>
        </w:tc>
        <w:tc>
          <w:tcPr>
            <w:tcW w:w="3037" w:type="pct"/>
            <w:vAlign w:val="center"/>
          </w:tcPr>
          <w:p w14:paraId="4B0172E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通过产学研深度合作，在教学目标、内容、方法、评价和资源开发等方面共同完成课程改革，且针对性、创新性、可操作性强</w:t>
            </w:r>
          </w:p>
        </w:tc>
        <w:tc>
          <w:tcPr>
            <w:tcW w:w="428" w:type="pct"/>
            <w:vAlign w:val="center"/>
          </w:tcPr>
          <w:p w14:paraId="4A2D3457">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14:paraId="3416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680" w:type="pct"/>
            <w:vMerge w:val="continue"/>
            <w:vAlign w:val="center"/>
          </w:tcPr>
          <w:p w14:paraId="3D85DA7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53" w:type="pct"/>
            <w:vAlign w:val="center"/>
          </w:tcPr>
          <w:p w14:paraId="7122EA8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创新效果</w:t>
            </w:r>
          </w:p>
        </w:tc>
        <w:tc>
          <w:tcPr>
            <w:tcW w:w="3037" w:type="pct"/>
            <w:vAlign w:val="center"/>
          </w:tcPr>
          <w:p w14:paraId="11D3BD2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课程教学方案设计科学、方法有效、评价多元，数字化转型较好，学生服务国家战略意识、专业知识素养、解决产业发展问题能力同步提高，解决人才培养供给侧和产业需求倒的结构性矛盾</w:t>
            </w:r>
          </w:p>
        </w:tc>
        <w:tc>
          <w:tcPr>
            <w:tcW w:w="428" w:type="pct"/>
            <w:vAlign w:val="center"/>
          </w:tcPr>
          <w:p w14:paraId="32A8EF3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14:paraId="14134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680" w:type="pct"/>
            <w:vMerge w:val="continue"/>
            <w:vAlign w:val="center"/>
          </w:tcPr>
          <w:p w14:paraId="446BD92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p>
        </w:tc>
        <w:tc>
          <w:tcPr>
            <w:tcW w:w="853" w:type="pct"/>
            <w:vAlign w:val="center"/>
          </w:tcPr>
          <w:p w14:paraId="5B8D484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成果辐射</w:t>
            </w:r>
          </w:p>
        </w:tc>
        <w:tc>
          <w:tcPr>
            <w:tcW w:w="3037" w:type="pct"/>
            <w:vAlign w:val="center"/>
          </w:tcPr>
          <w:p w14:paraId="39822BC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能够对产教融合课程教学的合作模式和成果转化开展基于证据的有效分析与总结，形成具有较强辐射推广价值的教学新方法、新模式</w:t>
            </w:r>
          </w:p>
        </w:tc>
        <w:tc>
          <w:tcPr>
            <w:tcW w:w="428" w:type="pct"/>
            <w:vAlign w:val="center"/>
          </w:tcPr>
          <w:p w14:paraId="1EEB35C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r>
    </w:tbl>
    <w:p w14:paraId="3BED181B">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p>
    <w:p w14:paraId="5817CB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B95888"/>
    <w:multiLevelType w:val="singleLevel"/>
    <w:tmpl w:val="D5B9588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1226B"/>
    <w:rsid w:val="0DC0001E"/>
    <w:rsid w:val="11666B9B"/>
    <w:rsid w:val="13A1226B"/>
    <w:rsid w:val="35B23FA8"/>
    <w:rsid w:val="77C36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